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6E" w:rsidRDefault="00AF426E" w:rsidP="00AF426E">
      <w:pPr>
        <w:widowControl w:val="0"/>
        <w:autoSpaceDE w:val="0"/>
        <w:autoSpaceDN w:val="0"/>
        <w:adjustRightInd w:val="0"/>
        <w:rPr>
          <w:rFonts w:ascii="Georgia" w:hAnsi="Georgia"/>
          <w:b/>
          <w:bCs/>
        </w:rPr>
      </w:pPr>
      <w:r>
        <w:rPr>
          <w:noProof/>
        </w:rPr>
        <w:drawing>
          <wp:inline distT="0" distB="0" distL="0" distR="0" wp14:anchorId="1E480FB8" wp14:editId="4D8FD38B">
            <wp:extent cx="1261872" cy="140208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tiz Ortega_Enrique_150dpi.jpeg"/>
                    <pic:cNvPicPr/>
                  </pic:nvPicPr>
                  <pic:blipFill>
                    <a:blip r:embed="rId4">
                      <a:extLst>
                        <a:ext uri="{28A0092B-C50C-407E-A947-70E740481C1C}">
                          <a14:useLocalDpi xmlns:a14="http://schemas.microsoft.com/office/drawing/2010/main" val="0"/>
                        </a:ext>
                      </a:extLst>
                    </a:blip>
                    <a:stretch>
                      <a:fillRect/>
                    </a:stretch>
                  </pic:blipFill>
                  <pic:spPr>
                    <a:xfrm>
                      <a:off x="0" y="0"/>
                      <a:ext cx="1261872" cy="1402080"/>
                    </a:xfrm>
                    <a:prstGeom prst="rect">
                      <a:avLst/>
                    </a:prstGeom>
                  </pic:spPr>
                </pic:pic>
              </a:graphicData>
            </a:graphic>
          </wp:inline>
        </w:drawing>
      </w:r>
    </w:p>
    <w:p w:rsidR="00AF426E" w:rsidRDefault="00AF426E" w:rsidP="00AF426E">
      <w:pPr>
        <w:widowControl w:val="0"/>
        <w:autoSpaceDE w:val="0"/>
        <w:autoSpaceDN w:val="0"/>
        <w:adjustRightInd w:val="0"/>
        <w:rPr>
          <w:rFonts w:ascii="Georgia" w:hAnsi="Georgia"/>
          <w:b/>
          <w:bCs/>
        </w:rPr>
      </w:pPr>
    </w:p>
    <w:p w:rsidR="00AF426E" w:rsidRPr="00096C5C" w:rsidRDefault="00AF426E" w:rsidP="00AF426E">
      <w:pPr>
        <w:widowControl w:val="0"/>
        <w:autoSpaceDE w:val="0"/>
        <w:autoSpaceDN w:val="0"/>
        <w:adjustRightInd w:val="0"/>
        <w:rPr>
          <w:rFonts w:ascii="Georgia" w:hAnsi="Georgia"/>
          <w:b/>
          <w:bCs/>
        </w:rPr>
      </w:pPr>
      <w:bookmarkStart w:id="0" w:name="_GoBack"/>
      <w:bookmarkEnd w:id="0"/>
      <w:r w:rsidRPr="00096C5C">
        <w:rPr>
          <w:rFonts w:ascii="Georgia" w:hAnsi="Georgia"/>
          <w:b/>
          <w:bCs/>
        </w:rPr>
        <w:t>Enrique Ortiz Ortega</w:t>
      </w:r>
    </w:p>
    <w:p w:rsidR="00AF426E" w:rsidRPr="00096C5C" w:rsidRDefault="00AF426E" w:rsidP="00AF426E">
      <w:pPr>
        <w:widowControl w:val="0"/>
        <w:autoSpaceDE w:val="0"/>
        <w:autoSpaceDN w:val="0"/>
        <w:adjustRightInd w:val="0"/>
        <w:rPr>
          <w:rFonts w:ascii="Georgia" w:hAnsi="Georgia"/>
          <w:b/>
          <w:bCs/>
        </w:rPr>
      </w:pPr>
      <w:r w:rsidRPr="00096C5C">
        <w:rPr>
          <w:rFonts w:ascii="Georgia" w:hAnsi="Georgia"/>
          <w:b/>
          <w:bCs/>
        </w:rPr>
        <w:t>KPMG</w:t>
      </w:r>
    </w:p>
    <w:p w:rsidR="00AF426E" w:rsidRDefault="00AF426E" w:rsidP="00AF426E">
      <w:pPr>
        <w:widowControl w:val="0"/>
        <w:autoSpaceDE w:val="0"/>
        <w:autoSpaceDN w:val="0"/>
        <w:adjustRightInd w:val="0"/>
        <w:rPr>
          <w:rFonts w:ascii="Georgia" w:hAnsi="Georgia"/>
        </w:rPr>
      </w:pPr>
    </w:p>
    <w:p w:rsidR="00AF426E" w:rsidRPr="00096C5C" w:rsidRDefault="00AF426E" w:rsidP="00AF426E">
      <w:pPr>
        <w:widowControl w:val="0"/>
        <w:autoSpaceDE w:val="0"/>
        <w:autoSpaceDN w:val="0"/>
        <w:adjustRightInd w:val="0"/>
        <w:rPr>
          <w:rFonts w:ascii="Georgia" w:hAnsi="Georgia"/>
        </w:rPr>
      </w:pPr>
      <w:r w:rsidRPr="00096C5C">
        <w:rPr>
          <w:rFonts w:ascii="Georgia" w:hAnsi="Georgia"/>
        </w:rPr>
        <w:t>Enrique is a Manager in KPMG’s Regulatory &amp; Compliance practice in New York City, and has advised a wide variety of Financial Services clients - primarily on Anti-Money Laundering (“AML”) regulation and Model Validation matters. Enrique has advised global US-based investment banks on the establishment of model risk frameworks and compliance with OCC and Federal Reserve Board guidance; European private and wealth management clients on adherence to European Union, US, and Canadian AML Know-Your-Customer and transaction monitoring regulations; European and US-based clients on Customer Due Diligence for Hedge Funds and Trusts in Latin America; and, amongst others, counseled a major US broker-dealer on the reorganization of its compliance and AML programs while dealing with regulator specific concerns in the East and West Coasts of the United States. Prior to joining KPMG, Enrique was Assistant General Counsel at the Clearing House Payments Company and Association dealing primarily with payments law in the US and the EU, and working on all advocacy related matters before the US Department of the Treasury and the Financial Crimes Enforcement Network in Washington, DC.</w:t>
      </w:r>
    </w:p>
    <w:p w:rsidR="00AF426E" w:rsidRPr="00096C5C" w:rsidRDefault="00AF426E" w:rsidP="00AF426E">
      <w:pPr>
        <w:widowControl w:val="0"/>
        <w:autoSpaceDE w:val="0"/>
        <w:autoSpaceDN w:val="0"/>
        <w:adjustRightInd w:val="0"/>
        <w:rPr>
          <w:rFonts w:ascii="Georgia" w:hAnsi="Georgia"/>
        </w:rPr>
      </w:pPr>
      <w:r w:rsidRPr="00096C5C">
        <w:rPr>
          <w:rFonts w:ascii="Georgia" w:hAnsi="Georgia"/>
        </w:rPr>
        <w:t> </w:t>
      </w:r>
    </w:p>
    <w:p w:rsidR="00AF426E" w:rsidRPr="00096C5C" w:rsidRDefault="00AF426E" w:rsidP="00AF426E">
      <w:pPr>
        <w:widowControl w:val="0"/>
        <w:autoSpaceDE w:val="0"/>
        <w:autoSpaceDN w:val="0"/>
        <w:adjustRightInd w:val="0"/>
        <w:rPr>
          <w:rFonts w:ascii="Georgia" w:hAnsi="Georgia"/>
        </w:rPr>
      </w:pPr>
      <w:r w:rsidRPr="00096C5C">
        <w:rPr>
          <w:rFonts w:ascii="Georgia" w:hAnsi="Georgia"/>
        </w:rPr>
        <w:t>Enrique’s international upbringing and education - which took him across the United States, Canada, Mexico, the United Kingdom, and Greece – allowed him to develop an appreciation for the importance of developing a global mindset and the need to understand diverse corporate business cultures across the world. While at Penn State, Enrique was involved with Student Government and led various student organizations. He led fundraising drives for THON and Rally in the Rotunda at the Pennsylvania State Capitol for the student organizations led by Enrique.</w:t>
      </w:r>
    </w:p>
    <w:p w:rsidR="00AF426E" w:rsidRPr="00096C5C" w:rsidRDefault="00AF426E" w:rsidP="00AF426E">
      <w:pPr>
        <w:widowControl w:val="0"/>
        <w:autoSpaceDE w:val="0"/>
        <w:autoSpaceDN w:val="0"/>
        <w:adjustRightInd w:val="0"/>
        <w:rPr>
          <w:rFonts w:ascii="Georgia" w:hAnsi="Georgia"/>
        </w:rPr>
      </w:pPr>
      <w:r w:rsidRPr="00096C5C">
        <w:rPr>
          <w:rFonts w:ascii="Georgia" w:hAnsi="Georgia"/>
        </w:rPr>
        <w:t> </w:t>
      </w:r>
    </w:p>
    <w:p w:rsidR="00AF426E" w:rsidRDefault="00AF426E" w:rsidP="00AF426E">
      <w:pPr>
        <w:widowControl w:val="0"/>
        <w:autoSpaceDE w:val="0"/>
        <w:autoSpaceDN w:val="0"/>
        <w:adjustRightInd w:val="0"/>
        <w:rPr>
          <w:rFonts w:ascii="Georgia" w:hAnsi="Georgia"/>
        </w:rPr>
      </w:pPr>
      <w:r w:rsidRPr="00096C5C">
        <w:rPr>
          <w:rFonts w:ascii="Georgia" w:hAnsi="Georgia"/>
        </w:rPr>
        <w:t>Enrique holds a Bachelor of Arts from the Pennsylvania State University in Political Science and Communications, a Master’s of Science in the Politics and Government of the European Union with a dissertation on Financial Regulation in the European Single Market from the London School of Economics, a J.D. from the University of North Carolina at Chapel Hill School of Law, and is admitted to the Bar of the State of New York. In addition to enjoying skiing, soccer, and discussing foreign affairs in his spare time; Enrique is a member of the World Affairs Council of Northern California, Young Professionals in Foreign Policy in New York City, and a the Young Professionals of the Americas in Washington, DC.</w:t>
      </w:r>
    </w:p>
    <w:p w:rsidR="00D06DC6" w:rsidRDefault="00D06DC6"/>
    <w:sectPr w:rsidR="00D0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6E"/>
    <w:rsid w:val="00AF426E"/>
    <w:rsid w:val="00D0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52A5B-CE8F-4862-9400-B1AFA801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26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McCarl</dc:creator>
  <cp:keywords/>
  <dc:description/>
  <cp:lastModifiedBy>Pauline McCarl</cp:lastModifiedBy>
  <cp:revision>1</cp:revision>
  <dcterms:created xsi:type="dcterms:W3CDTF">2016-03-10T15:07:00Z</dcterms:created>
  <dcterms:modified xsi:type="dcterms:W3CDTF">2016-03-10T15:07:00Z</dcterms:modified>
</cp:coreProperties>
</file>